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4648D6"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7C77BC4877BA4221ACE2D5788AA0CD52"/>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sdtContent>
                <w:r w:rsidR="00D2481B" w:rsidRPr="000B662E">
                  <w:rPr>
                    <w:rFonts w:ascii="Times New Roman" w:hAnsi="Times New Roman" w:cs="Times New Roman"/>
                    <w:b/>
                    <w:sz w:val="44"/>
                    <w:szCs w:val="32"/>
                  </w:rPr>
                  <w:t>Metropolitan Nashville Board of Education</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BEBA648F5EBF4246B26B0F9D676C6D45"/>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Review: Annually, in September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6"/>
              </w:rPr>
              <w:alias w:val="Policy Title"/>
              <w:tag w:val="PolicyTitle"/>
              <w:id w:val="-1416171737"/>
              <w:lock w:val="sdtLocked"/>
              <w:placeholder>
                <w:docPart w:val="E16DD29B7EF44C00934458651055D644"/>
              </w:placeholder>
              <w:text w:multiLine="1"/>
            </w:sdtPr>
            <w:sdtEndPr/>
            <w:sdtContent>
              <w:p w:rsidR="00470EE4" w:rsidRPr="000C67FF" w:rsidRDefault="00D2481B" w:rsidP="00A63F7F">
                <w:pPr>
                  <w:jc w:val="center"/>
                  <w:rPr>
                    <w:rFonts w:ascii="Times New Roman" w:hAnsi="Times New Roman" w:cs="Times New Roman"/>
                    <w:b/>
                    <w:sz w:val="36"/>
                    <w:szCs w:val="36"/>
                  </w:rPr>
                </w:pPr>
                <w:r w:rsidRPr="000B662E">
                  <w:rPr>
                    <w:rFonts w:ascii="Times New Roman" w:hAnsi="Times New Roman" w:cs="Times New Roman"/>
                    <w:b/>
                    <w:sz w:val="32"/>
                    <w:szCs w:val="36"/>
                  </w:rPr>
                  <w:t>Fixed Assets</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B0753A5E0A3346028A83765FEE7B2805"/>
              </w:placeholder>
              <w:text/>
            </w:sdtPr>
            <w:sdtEndPr/>
            <w:sdtContent>
              <w:p w:rsidR="00470EE4" w:rsidRPr="00470EE4" w:rsidRDefault="00D2481B" w:rsidP="00FA4515">
                <w:pPr>
                  <w:jc w:val="center"/>
                  <w:rPr>
                    <w:rFonts w:ascii="Times New Roman" w:hAnsi="Times New Roman" w:cs="Times New Roman"/>
                    <w:b/>
                    <w:sz w:val="20"/>
                    <w:szCs w:val="20"/>
                  </w:rPr>
                </w:pPr>
                <w:r>
                  <w:rPr>
                    <w:rFonts w:ascii="Times New Roman" w:hAnsi="Times New Roman" w:cs="Times New Roman"/>
                    <w:b/>
                    <w:sz w:val="20"/>
                    <w:szCs w:val="20"/>
                  </w:rPr>
                  <w:t>2.4021</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B5B0DE17FF644769ADDF6904AB17C49C"/>
              </w:placeholder>
              <w:date>
                <w:dateFormat w:val="MM/dd/yy"/>
                <w:lid w:val="en-US"/>
                <w:storeMappedDataAs w:val="dateTime"/>
                <w:calendar w:val="gregorian"/>
              </w:date>
            </w:sdtPr>
            <w:sdtEndPr/>
            <w:sdtContent>
              <w:p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4D6911DEDC140359584406538D4F2B2"/>
              </w:placeholder>
              <w:text/>
            </w:sdtPr>
            <w:sdtEndPr/>
            <w:sdtContent>
              <w:p w:rsidR="00470EE4" w:rsidRPr="00470EE4" w:rsidRDefault="00D2481B" w:rsidP="002F4992">
                <w:pPr>
                  <w:jc w:val="center"/>
                  <w:rPr>
                    <w:rFonts w:ascii="Times New Roman" w:hAnsi="Times New Roman" w:cs="Times New Roman"/>
                    <w:b/>
                    <w:sz w:val="20"/>
                    <w:szCs w:val="20"/>
                  </w:rPr>
                </w:pPr>
                <w:r>
                  <w:rPr>
                    <w:rFonts w:ascii="Times New Roman" w:hAnsi="Times New Roman" w:cs="Times New Roman"/>
                    <w:b/>
                    <w:sz w:val="20"/>
                    <w:szCs w:val="20"/>
                  </w:rPr>
                  <w:t>FM 2.104</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D195D17DDEBD406983D9294C116989B2"/>
              </w:placeholder>
              <w:date w:fullDate="2012-11-01T00:00:00Z">
                <w:dateFormat w:val="MM/dd/yy"/>
                <w:lid w:val="en-US"/>
                <w:storeMappedDataAs w:val="dateTime"/>
                <w:calendar w:val="gregorian"/>
              </w:date>
            </w:sdtPr>
            <w:sdtEndPr/>
            <w:sdtContent>
              <w:p w:rsidR="00470EE4" w:rsidRPr="00470EE4" w:rsidRDefault="00D2481B" w:rsidP="002F4992">
                <w:pPr>
                  <w:jc w:val="center"/>
                  <w:rPr>
                    <w:rFonts w:ascii="Times New Roman" w:hAnsi="Times New Roman" w:cs="Times New Roman"/>
                    <w:b/>
                    <w:sz w:val="20"/>
                    <w:szCs w:val="20"/>
                  </w:rPr>
                </w:pPr>
                <w:r>
                  <w:rPr>
                    <w:rFonts w:ascii="Times New Roman" w:hAnsi="Times New Roman" w:cs="Times New Roman"/>
                    <w:b/>
                    <w:sz w:val="20"/>
                    <w:szCs w:val="20"/>
                  </w:rPr>
                  <w:t>11/01/12</w:t>
                </w:r>
              </w:p>
            </w:sdtContent>
          </w:sdt>
        </w:tc>
      </w:tr>
    </w:tbl>
    <w:p w:rsidR="005214DA" w:rsidRPr="005214DA" w:rsidRDefault="005214DA" w:rsidP="005214DA">
      <w:pPr>
        <w:spacing w:before="240" w:after="0" w:line="240" w:lineRule="auto"/>
        <w:rPr>
          <w:rFonts w:ascii="Times-Roman" w:hAnsi="Times-Roman" w:cs="Times-Roman"/>
          <w:color w:val="000000"/>
          <w:sz w:val="24"/>
          <w:szCs w:val="24"/>
        </w:rPr>
      </w:pPr>
      <w:bookmarkStart w:id="0" w:name="BoardTitle"/>
      <w:bookmarkEnd w:id="0"/>
      <w:r w:rsidRPr="005214DA">
        <w:rPr>
          <w:rFonts w:ascii="Times-Roman" w:hAnsi="Times-Roman" w:cs="Times-Roman"/>
          <w:color w:val="000000"/>
          <w:sz w:val="24"/>
          <w:szCs w:val="24"/>
        </w:rPr>
        <w:t>Fixed Assets are tangible items of a non-consumable nature, the value of which is $5000.00 or more</w:t>
      </w:r>
      <w:r w:rsidR="00064279">
        <w:rPr>
          <w:rFonts w:ascii="Times-Roman" w:hAnsi="Times-Roman" w:cs="Times-Roman"/>
          <w:color w:val="000000"/>
          <w:sz w:val="24"/>
          <w:szCs w:val="24"/>
        </w:rPr>
        <w:t>,</w:t>
      </w:r>
      <w:r w:rsidRPr="005214DA">
        <w:rPr>
          <w:rFonts w:ascii="Times-Roman" w:hAnsi="Times-Roman" w:cs="Times-Roman"/>
          <w:color w:val="000000"/>
          <w:sz w:val="24"/>
          <w:szCs w:val="24"/>
        </w:rPr>
        <w:t xml:space="preserve"> and the normal expected life of one year or more. Examples of fixed assets are land, buildings, equipment, fixtures, motor vehicles, audiovisual materials</w:t>
      </w:r>
      <w:r w:rsidR="004548F6">
        <w:rPr>
          <w:rFonts w:ascii="Times-Roman" w:hAnsi="Times-Roman" w:cs="Times-Roman"/>
          <w:color w:val="000000"/>
          <w:sz w:val="24"/>
          <w:szCs w:val="24"/>
        </w:rPr>
        <w:t>,</w:t>
      </w:r>
      <w:r w:rsidRPr="005214DA">
        <w:rPr>
          <w:rFonts w:ascii="Times-Roman" w:hAnsi="Times-Roman" w:cs="Times-Roman"/>
          <w:color w:val="000000"/>
          <w:sz w:val="24"/>
          <w:szCs w:val="24"/>
        </w:rPr>
        <w:t xml:space="preserve"> and some computer hardware and software</w:t>
      </w:r>
      <w:r w:rsidRPr="005214DA">
        <w:rPr>
          <w:rFonts w:ascii="Times-Roman" w:hAnsi="Times-Roman" w:cs="Times-Roman"/>
          <w:b/>
          <w:bCs/>
          <w:color w:val="000000"/>
          <w:sz w:val="24"/>
          <w:szCs w:val="24"/>
        </w:rPr>
        <w:t>.</w:t>
      </w:r>
    </w:p>
    <w:p w:rsidR="005214DA" w:rsidRPr="005214DA" w:rsidRDefault="00776A6E" w:rsidP="005214DA">
      <w:pPr>
        <w:spacing w:before="240" w:after="0" w:line="240" w:lineRule="auto"/>
        <w:rPr>
          <w:rFonts w:ascii="Times-Roman" w:hAnsi="Times-Roman" w:cs="Times-Roman"/>
          <w:b/>
          <w:bCs/>
          <w:color w:val="000000"/>
          <w:sz w:val="24"/>
          <w:szCs w:val="24"/>
        </w:rPr>
      </w:pPr>
      <w:r>
        <w:rPr>
          <w:rFonts w:ascii="Times-Roman" w:hAnsi="Times-Roman" w:cs="Times-Roman"/>
          <w:b/>
          <w:bCs/>
          <w:color w:val="000000"/>
          <w:sz w:val="24"/>
          <w:szCs w:val="24"/>
        </w:rPr>
        <w:t>RESPONSIBILITIES</w:t>
      </w:r>
    </w:p>
    <w:p w:rsidR="005214DA" w:rsidRPr="005214DA" w:rsidRDefault="005214DA" w:rsidP="005214DA">
      <w:pPr>
        <w:spacing w:before="240" w:after="0" w:line="240" w:lineRule="auto"/>
        <w:rPr>
          <w:rFonts w:ascii="Times-Roman" w:hAnsi="Times-Roman" w:cs="Times-Roman"/>
          <w:color w:val="000000"/>
          <w:sz w:val="24"/>
          <w:szCs w:val="24"/>
        </w:rPr>
      </w:pPr>
      <w:r w:rsidRPr="005214DA">
        <w:rPr>
          <w:rFonts w:ascii="Times-Roman" w:hAnsi="Times-Roman" w:cs="Times-Roman"/>
          <w:color w:val="000000"/>
          <w:sz w:val="24"/>
          <w:szCs w:val="24"/>
        </w:rPr>
        <w:t xml:space="preserve">Principals and </w:t>
      </w:r>
      <w:r w:rsidR="004548F6">
        <w:rPr>
          <w:rFonts w:ascii="Times-Roman" w:hAnsi="Times-Roman" w:cs="Times-Roman"/>
          <w:color w:val="000000"/>
          <w:sz w:val="24"/>
          <w:szCs w:val="24"/>
        </w:rPr>
        <w:t>d</w:t>
      </w:r>
      <w:r w:rsidRPr="005214DA">
        <w:rPr>
          <w:rFonts w:ascii="Times-Roman" w:hAnsi="Times-Roman" w:cs="Times-Roman"/>
          <w:color w:val="000000"/>
          <w:sz w:val="24"/>
          <w:szCs w:val="24"/>
        </w:rPr>
        <w:t xml:space="preserve">epartment </w:t>
      </w:r>
      <w:r w:rsidR="004548F6">
        <w:rPr>
          <w:rFonts w:ascii="Times-Roman" w:hAnsi="Times-Roman" w:cs="Times-Roman"/>
          <w:color w:val="000000"/>
          <w:sz w:val="24"/>
          <w:szCs w:val="24"/>
        </w:rPr>
        <w:t>h</w:t>
      </w:r>
      <w:r w:rsidRPr="005214DA">
        <w:rPr>
          <w:rFonts w:ascii="Times-Roman" w:hAnsi="Times-Roman" w:cs="Times-Roman"/>
          <w:color w:val="000000"/>
          <w:sz w:val="24"/>
          <w:szCs w:val="24"/>
        </w:rPr>
        <w:t>eads have the ultimate responsibility and accountability for all Board of Education property regardless of the source of fund</w:t>
      </w:r>
      <w:r w:rsidR="00511B4C">
        <w:rPr>
          <w:rFonts w:ascii="Times-Roman" w:hAnsi="Times-Roman" w:cs="Times-Roman"/>
          <w:color w:val="000000"/>
          <w:sz w:val="24"/>
          <w:szCs w:val="24"/>
        </w:rPr>
        <w:t>i</w:t>
      </w:r>
      <w:bookmarkStart w:id="1" w:name="_GoBack"/>
      <w:bookmarkEnd w:id="1"/>
      <w:r w:rsidR="00511B4C">
        <w:rPr>
          <w:rFonts w:ascii="Times-Roman" w:hAnsi="Times-Roman" w:cs="Times-Roman"/>
          <w:color w:val="000000"/>
          <w:sz w:val="24"/>
          <w:szCs w:val="24"/>
        </w:rPr>
        <w:t>ng or property and should perform a physical audit of their assets at least annually.</w:t>
      </w:r>
      <w:r w:rsidR="004548F6">
        <w:rPr>
          <w:rFonts w:ascii="Times-Roman" w:hAnsi="Times-Roman" w:cs="Times-Roman"/>
          <w:color w:val="000000"/>
          <w:sz w:val="24"/>
          <w:szCs w:val="24"/>
        </w:rPr>
        <w:t xml:space="preserve"> Principals or d</w:t>
      </w:r>
      <w:r w:rsidRPr="005214DA">
        <w:rPr>
          <w:rFonts w:ascii="Times-Roman" w:hAnsi="Times-Roman" w:cs="Times-Roman"/>
          <w:color w:val="000000"/>
          <w:sz w:val="24"/>
          <w:szCs w:val="24"/>
        </w:rPr>
        <w:t xml:space="preserve">epartment </w:t>
      </w:r>
      <w:r w:rsidR="004548F6">
        <w:rPr>
          <w:rFonts w:ascii="Times-Roman" w:hAnsi="Times-Roman" w:cs="Times-Roman"/>
          <w:color w:val="000000"/>
          <w:sz w:val="24"/>
          <w:szCs w:val="24"/>
        </w:rPr>
        <w:t>h</w:t>
      </w:r>
      <w:r w:rsidRPr="005214DA">
        <w:rPr>
          <w:rFonts w:ascii="Times-Roman" w:hAnsi="Times-Roman" w:cs="Times-Roman"/>
          <w:color w:val="000000"/>
          <w:sz w:val="24"/>
          <w:szCs w:val="24"/>
        </w:rPr>
        <w:t>eads should name a designee for the day-to-day accounting for fixed assets.</w:t>
      </w:r>
      <w:r w:rsidR="00511B4C">
        <w:rPr>
          <w:rFonts w:ascii="Times-Roman" w:hAnsi="Times-Roman" w:cs="Times-Roman"/>
          <w:color w:val="000000"/>
          <w:sz w:val="24"/>
          <w:szCs w:val="24"/>
        </w:rPr>
        <w:t xml:space="preserve"> </w:t>
      </w:r>
    </w:p>
    <w:p w:rsidR="005214DA" w:rsidRPr="005214DA" w:rsidRDefault="00776A6E" w:rsidP="005214DA">
      <w:pPr>
        <w:spacing w:before="240" w:after="0" w:line="240" w:lineRule="auto"/>
        <w:rPr>
          <w:rFonts w:ascii="Times-Roman" w:hAnsi="Times-Roman" w:cs="Times-Roman"/>
          <w:b/>
          <w:bCs/>
          <w:color w:val="000000"/>
          <w:sz w:val="24"/>
          <w:szCs w:val="24"/>
        </w:rPr>
      </w:pPr>
      <w:r>
        <w:rPr>
          <w:rFonts w:ascii="Times-Roman" w:hAnsi="Times-Roman" w:cs="Times-Roman"/>
          <w:b/>
          <w:bCs/>
          <w:color w:val="000000"/>
          <w:sz w:val="24"/>
          <w:szCs w:val="24"/>
        </w:rPr>
        <w:t>SAFE KEEPING</w:t>
      </w:r>
    </w:p>
    <w:p w:rsidR="005214DA" w:rsidRPr="005214DA" w:rsidRDefault="005214DA" w:rsidP="005214DA">
      <w:pPr>
        <w:spacing w:before="240" w:after="0" w:line="240" w:lineRule="auto"/>
        <w:rPr>
          <w:rFonts w:ascii="Times-Roman" w:hAnsi="Times-Roman" w:cs="Times-Roman"/>
          <w:color w:val="000000"/>
          <w:sz w:val="24"/>
          <w:szCs w:val="24"/>
        </w:rPr>
      </w:pPr>
      <w:r w:rsidRPr="005214DA">
        <w:rPr>
          <w:rFonts w:ascii="Times-Roman" w:hAnsi="Times-Roman" w:cs="Times-Roman"/>
          <w:color w:val="000000"/>
          <w:sz w:val="24"/>
          <w:szCs w:val="24"/>
        </w:rPr>
        <w:t>Every effort must be made to control and protect all fixed assets from theft, damage</w:t>
      </w:r>
      <w:r w:rsidR="004548F6">
        <w:rPr>
          <w:rFonts w:ascii="Times-Roman" w:hAnsi="Times-Roman" w:cs="Times-Roman"/>
          <w:color w:val="000000"/>
          <w:sz w:val="24"/>
          <w:szCs w:val="24"/>
        </w:rPr>
        <w:t>,</w:t>
      </w:r>
      <w:r w:rsidRPr="005214DA">
        <w:rPr>
          <w:rFonts w:ascii="Times-Roman" w:hAnsi="Times-Roman" w:cs="Times-Roman"/>
          <w:color w:val="000000"/>
          <w:sz w:val="24"/>
          <w:szCs w:val="24"/>
        </w:rPr>
        <w:t xml:space="preserve"> and vandalism. The Office of Security and the Fiscal</w:t>
      </w:r>
      <w:r w:rsidR="004548F6">
        <w:rPr>
          <w:rFonts w:ascii="Times-Roman" w:hAnsi="Times-Roman" w:cs="Times-Roman"/>
          <w:color w:val="000000"/>
          <w:sz w:val="24"/>
          <w:szCs w:val="24"/>
        </w:rPr>
        <w:t xml:space="preserve"> </w:t>
      </w:r>
      <w:r w:rsidRPr="005214DA">
        <w:rPr>
          <w:rFonts w:ascii="Times-Roman" w:hAnsi="Times-Roman" w:cs="Times-Roman"/>
          <w:color w:val="000000"/>
          <w:sz w:val="24"/>
          <w:szCs w:val="24"/>
        </w:rPr>
        <w:t>Services/Fixed Assets Department must be contacted in writing if theft, serious damage</w:t>
      </w:r>
      <w:r w:rsidR="004548F6">
        <w:rPr>
          <w:rFonts w:ascii="Times-Roman" w:hAnsi="Times-Roman" w:cs="Times-Roman"/>
          <w:color w:val="000000"/>
          <w:sz w:val="24"/>
          <w:szCs w:val="24"/>
        </w:rPr>
        <w:t>,</w:t>
      </w:r>
      <w:r w:rsidRPr="005214DA">
        <w:rPr>
          <w:rFonts w:ascii="Times-Roman" w:hAnsi="Times-Roman" w:cs="Times-Roman"/>
          <w:color w:val="000000"/>
          <w:sz w:val="24"/>
          <w:szCs w:val="24"/>
        </w:rPr>
        <w:t xml:space="preserve"> or vandalism occurs. In the event that equipment is lost or stolen, the local police shall be called</w:t>
      </w:r>
      <w:r w:rsidR="004548F6">
        <w:rPr>
          <w:rFonts w:ascii="Times-Roman" w:hAnsi="Times-Roman" w:cs="Times-Roman"/>
          <w:color w:val="000000"/>
          <w:sz w:val="24"/>
          <w:szCs w:val="24"/>
        </w:rPr>
        <w:t>,</w:t>
      </w:r>
      <w:r w:rsidRPr="005214DA">
        <w:rPr>
          <w:rFonts w:ascii="Times-Roman" w:hAnsi="Times-Roman" w:cs="Times-Roman"/>
          <w:color w:val="000000"/>
          <w:sz w:val="24"/>
          <w:szCs w:val="24"/>
        </w:rPr>
        <w:t xml:space="preserve"> and a report filled out. This report will be submitted to the appropriate department head or principal along with supporting documents. The principal or department head will keep these records on file. The stolen or lost equipment will be noted in the inventory database.</w:t>
      </w:r>
    </w:p>
    <w:p w:rsidR="005214DA" w:rsidRPr="005214DA" w:rsidRDefault="005214DA" w:rsidP="005214DA">
      <w:pPr>
        <w:spacing w:before="240" w:after="0" w:line="240" w:lineRule="auto"/>
        <w:rPr>
          <w:rFonts w:ascii="Times-Roman" w:hAnsi="Times-Roman" w:cs="Times-Roman"/>
          <w:color w:val="000000"/>
          <w:sz w:val="24"/>
          <w:szCs w:val="24"/>
        </w:rPr>
      </w:pPr>
      <w:r w:rsidRPr="005214DA">
        <w:rPr>
          <w:rFonts w:ascii="Times-Roman" w:hAnsi="Times-Roman" w:cs="Times-Roman"/>
          <w:color w:val="000000"/>
          <w:sz w:val="24"/>
          <w:szCs w:val="24"/>
        </w:rPr>
        <w:t>When/if new equipment is issued to that location</w:t>
      </w:r>
      <w:r w:rsidR="004548F6">
        <w:rPr>
          <w:rFonts w:ascii="Times-Roman" w:hAnsi="Times-Roman" w:cs="Times-Roman"/>
          <w:color w:val="000000"/>
          <w:sz w:val="24"/>
          <w:szCs w:val="24"/>
        </w:rPr>
        <w:t>,</w:t>
      </w:r>
      <w:r w:rsidRPr="005214DA">
        <w:rPr>
          <w:rFonts w:ascii="Times-Roman" w:hAnsi="Times-Roman" w:cs="Times-Roman"/>
          <w:color w:val="000000"/>
          <w:sz w:val="24"/>
          <w:szCs w:val="24"/>
        </w:rPr>
        <w:t xml:space="preserve"> the new information will be recorded in th</w:t>
      </w:r>
      <w:r w:rsidR="004548F6">
        <w:rPr>
          <w:rFonts w:ascii="Times-Roman" w:hAnsi="Times-Roman" w:cs="Times-Roman"/>
          <w:color w:val="000000"/>
          <w:sz w:val="24"/>
          <w:szCs w:val="24"/>
        </w:rPr>
        <w:t>e database. Principals and d</w:t>
      </w:r>
      <w:r w:rsidRPr="005214DA">
        <w:rPr>
          <w:rFonts w:ascii="Times-Roman" w:hAnsi="Times-Roman" w:cs="Times-Roman"/>
          <w:color w:val="000000"/>
          <w:sz w:val="24"/>
          <w:szCs w:val="24"/>
        </w:rPr>
        <w:t xml:space="preserve">epartment </w:t>
      </w:r>
      <w:r w:rsidR="004548F6">
        <w:rPr>
          <w:rFonts w:ascii="Times-Roman" w:hAnsi="Times-Roman" w:cs="Times-Roman"/>
          <w:color w:val="000000"/>
          <w:sz w:val="24"/>
          <w:szCs w:val="24"/>
        </w:rPr>
        <w:t>h</w:t>
      </w:r>
      <w:r w:rsidRPr="005214DA">
        <w:rPr>
          <w:rFonts w:ascii="Times-Roman" w:hAnsi="Times-Roman" w:cs="Times-Roman"/>
          <w:color w:val="000000"/>
          <w:sz w:val="24"/>
          <w:szCs w:val="24"/>
        </w:rPr>
        <w:t>eads must retain an accurate inventory of fixed assets and periodically verify all property is present and in good operating condition.</w:t>
      </w:r>
    </w:p>
    <w:p w:rsidR="00776A6E" w:rsidRPr="00776A6E" w:rsidRDefault="00776A6E" w:rsidP="00776A6E">
      <w:pPr>
        <w:spacing w:before="240" w:after="0" w:line="240" w:lineRule="auto"/>
        <w:rPr>
          <w:rFonts w:ascii="Times-Roman" w:hAnsi="Times-Roman" w:cs="Times-Roman"/>
          <w:color w:val="000000"/>
          <w:sz w:val="24"/>
          <w:szCs w:val="24"/>
        </w:rPr>
      </w:pPr>
      <w:r w:rsidRPr="00776A6E">
        <w:rPr>
          <w:rFonts w:ascii="Times-Roman" w:hAnsi="Times-Roman" w:cs="Times-Roman"/>
          <w:color w:val="000000"/>
          <w:sz w:val="24"/>
          <w:szCs w:val="24"/>
        </w:rPr>
        <w:t>Maintenance records of all fixed assets will be kept on file at the location where the asset is housed, including maintenance agreements with vendors and regularly scheduled maintenance that is performed. These records should include the date the work is done, a description of the work, any parts replaced</w:t>
      </w:r>
      <w:r w:rsidR="004548F6">
        <w:rPr>
          <w:rFonts w:ascii="Times-Roman" w:hAnsi="Times-Roman" w:cs="Times-Roman"/>
          <w:color w:val="000000"/>
          <w:sz w:val="24"/>
          <w:szCs w:val="24"/>
        </w:rPr>
        <w:t>,</w:t>
      </w:r>
      <w:r w:rsidRPr="00776A6E">
        <w:rPr>
          <w:rFonts w:ascii="Times-Roman" w:hAnsi="Times-Roman" w:cs="Times-Roman"/>
          <w:color w:val="000000"/>
          <w:sz w:val="24"/>
          <w:szCs w:val="24"/>
        </w:rPr>
        <w:t xml:space="preserve"> and who performed the maintenance.</w:t>
      </w:r>
    </w:p>
    <w:p w:rsidR="00776A6E" w:rsidRPr="00776A6E" w:rsidRDefault="00776A6E" w:rsidP="00776A6E">
      <w:pPr>
        <w:spacing w:before="240" w:after="0" w:line="240" w:lineRule="auto"/>
        <w:rPr>
          <w:rFonts w:ascii="Times-Roman" w:hAnsi="Times-Roman" w:cs="Times-Roman"/>
          <w:b/>
          <w:bCs/>
          <w:color w:val="000000"/>
          <w:sz w:val="24"/>
          <w:szCs w:val="24"/>
        </w:rPr>
      </w:pPr>
      <w:r>
        <w:rPr>
          <w:rFonts w:ascii="Times-Roman" w:hAnsi="Times-Roman" w:cs="Times-Roman"/>
          <w:b/>
          <w:bCs/>
          <w:color w:val="000000"/>
          <w:sz w:val="24"/>
          <w:szCs w:val="24"/>
        </w:rPr>
        <w:t>SCHOOL ACQUISITIONS AND DONATIONS</w:t>
      </w:r>
    </w:p>
    <w:p w:rsidR="00776A6E" w:rsidRPr="00776A6E" w:rsidRDefault="00776A6E" w:rsidP="00776A6E">
      <w:pPr>
        <w:spacing w:before="240" w:after="0" w:line="240" w:lineRule="auto"/>
        <w:rPr>
          <w:rFonts w:ascii="Times-Roman" w:hAnsi="Times-Roman" w:cs="Times-Roman"/>
          <w:color w:val="000000"/>
          <w:sz w:val="24"/>
          <w:szCs w:val="24"/>
        </w:rPr>
      </w:pPr>
      <w:r w:rsidRPr="00776A6E">
        <w:rPr>
          <w:rFonts w:ascii="Times-Roman" w:hAnsi="Times-Roman" w:cs="Times-Roman"/>
          <w:color w:val="000000"/>
          <w:sz w:val="24"/>
          <w:szCs w:val="24"/>
        </w:rPr>
        <w:t xml:space="preserve">Fixed assets purchased with activity funds or donated to a school become assets of the </w:t>
      </w:r>
      <w:r w:rsidR="004548F6">
        <w:rPr>
          <w:rFonts w:ascii="Times-Roman" w:hAnsi="Times-Roman" w:cs="Times-Roman"/>
          <w:color w:val="000000"/>
          <w:sz w:val="24"/>
          <w:szCs w:val="24"/>
        </w:rPr>
        <w:t>d</w:t>
      </w:r>
      <w:r w:rsidRPr="00776A6E">
        <w:rPr>
          <w:rFonts w:ascii="Times-Roman" w:hAnsi="Times-Roman" w:cs="Times-Roman"/>
          <w:color w:val="000000"/>
          <w:sz w:val="24"/>
          <w:szCs w:val="24"/>
        </w:rPr>
        <w:t>istrict and must be properly tagged and inventoried.</w:t>
      </w:r>
    </w:p>
    <w:p w:rsidR="00776A6E" w:rsidRPr="00776A6E" w:rsidRDefault="00776A6E" w:rsidP="00776A6E">
      <w:pPr>
        <w:spacing w:before="240" w:after="0" w:line="240" w:lineRule="auto"/>
        <w:rPr>
          <w:rFonts w:ascii="Times-Roman" w:hAnsi="Times-Roman" w:cs="Times-Roman"/>
          <w:b/>
          <w:color w:val="000000"/>
          <w:sz w:val="24"/>
          <w:szCs w:val="24"/>
        </w:rPr>
      </w:pPr>
      <w:r>
        <w:rPr>
          <w:rFonts w:ascii="Times-Roman" w:hAnsi="Times-Roman" w:cs="Times-Roman"/>
          <w:b/>
          <w:color w:val="000000"/>
          <w:sz w:val="24"/>
          <w:szCs w:val="24"/>
        </w:rPr>
        <w:t>TRANSFERRING FIXED ASSETS</w:t>
      </w:r>
    </w:p>
    <w:p w:rsidR="00C40946" w:rsidRDefault="00776A6E" w:rsidP="00776A6E">
      <w:pPr>
        <w:spacing w:before="240" w:after="0" w:line="240" w:lineRule="auto"/>
        <w:rPr>
          <w:rFonts w:ascii="Times-Roman" w:hAnsi="Times-Roman" w:cs="Times-Roman"/>
          <w:color w:val="000000"/>
          <w:sz w:val="24"/>
          <w:szCs w:val="24"/>
        </w:rPr>
      </w:pPr>
      <w:r w:rsidRPr="00776A6E">
        <w:rPr>
          <w:rFonts w:ascii="Times-Roman" w:hAnsi="Times-Roman" w:cs="Times-Roman"/>
          <w:color w:val="000000"/>
          <w:sz w:val="24"/>
          <w:szCs w:val="24"/>
        </w:rPr>
        <w:t xml:space="preserve">The physical transfer of fixed assets between locations shall not be done without approval of the principal or department head from the receiving and sending school or department. A copy of the work order must be sent to Business Services (Fixed Asset Accountant). The transfer should be recorded in </w:t>
      </w:r>
      <w:r w:rsidRPr="00776A6E">
        <w:rPr>
          <w:rFonts w:ascii="Times-Roman" w:hAnsi="Times-Roman" w:cs="Times-Roman"/>
          <w:color w:val="000000"/>
          <w:sz w:val="24"/>
          <w:szCs w:val="24"/>
        </w:rPr>
        <w:lastRenderedPageBreak/>
        <w:t>the inventory database in order to track the asset. The sending location is responsible for noting in the database that the item is moving to another location. The receiving location is then responsible for recording in the database the exact location of the equipment when it arrives.</w:t>
      </w:r>
    </w:p>
    <w:p w:rsidR="007674B4" w:rsidRDefault="007674B4" w:rsidP="00EF3C03">
      <w:pPr>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D6" w:rsidRDefault="004648D6" w:rsidP="003D2A67">
      <w:pPr>
        <w:spacing w:after="0" w:line="240" w:lineRule="auto"/>
      </w:pPr>
      <w:r>
        <w:separator/>
      </w:r>
    </w:p>
  </w:endnote>
  <w:endnote w:type="continuationSeparator" w:id="0">
    <w:p w:rsidR="004648D6" w:rsidRDefault="004648D6"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0B662E">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0B662E">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CC08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0B662E">
      <w:rPr>
        <w:rFonts w:ascii="Times New Roman" w:hAnsi="Times New Roman" w:cs="Times New Roman"/>
        <w:noProof/>
        <w:sz w:val="16"/>
        <w:szCs w:val="16"/>
      </w:rPr>
      <w:t>July 25,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D6" w:rsidRDefault="004648D6" w:rsidP="003D2A67">
      <w:pPr>
        <w:spacing w:after="0" w:line="240" w:lineRule="auto"/>
      </w:pPr>
      <w:r>
        <w:separator/>
      </w:r>
    </w:p>
  </w:footnote>
  <w:footnote w:type="continuationSeparator" w:id="0">
    <w:p w:rsidR="004648D6" w:rsidRDefault="004648D6"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Default="00776A6E">
    <w:pPr>
      <w:pStyle w:val="Header"/>
      <w:rPr>
        <w:rFonts w:ascii="Times New Roman" w:hAnsi="Times New Roman" w:cs="Times New Roman"/>
        <w:b/>
        <w:sz w:val="16"/>
        <w:szCs w:val="16"/>
      </w:rPr>
    </w:pPr>
    <w:r>
      <w:rPr>
        <w:rFonts w:ascii="Times New Roman" w:hAnsi="Times New Roman" w:cs="Times New Roman"/>
        <w:b/>
        <w:sz w:val="16"/>
        <w:szCs w:val="16"/>
      </w:rPr>
      <w:t>Fixed Assets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sidR="00CA43B4">
      <w:rPr>
        <w:rFonts w:ascii="Times New Roman" w:hAnsi="Times New Roman" w:cs="Times New Roman"/>
        <w:b/>
        <w:sz w:val="16"/>
        <w:szCs w:val="16"/>
      </w:rPr>
      <w:t>2.4021</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2A2BC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BE6"/>
    <w:multiLevelType w:val="hybridMultilevel"/>
    <w:tmpl w:val="A4E0C3EE"/>
    <w:lvl w:ilvl="0" w:tplc="2AD0D282">
      <w:start w:val="8"/>
      <w:numFmt w:val="bullet"/>
      <w:lvlText w:val="•"/>
      <w:lvlJc w:val="left"/>
      <w:pPr>
        <w:ind w:left="720" w:hanging="360"/>
      </w:pPr>
      <w:rPr>
        <w:rFonts w:ascii="SymbolMT" w:eastAsia="Times New Roman"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B"/>
    <w:rsid w:val="00064279"/>
    <w:rsid w:val="0008441B"/>
    <w:rsid w:val="000B662E"/>
    <w:rsid w:val="000C67FF"/>
    <w:rsid w:val="000D266E"/>
    <w:rsid w:val="001160A6"/>
    <w:rsid w:val="00292C97"/>
    <w:rsid w:val="002F4992"/>
    <w:rsid w:val="00320562"/>
    <w:rsid w:val="003D2A67"/>
    <w:rsid w:val="00407690"/>
    <w:rsid w:val="004518BE"/>
    <w:rsid w:val="004548F6"/>
    <w:rsid w:val="004648D6"/>
    <w:rsid w:val="00470EE4"/>
    <w:rsid w:val="004932A3"/>
    <w:rsid w:val="004C6947"/>
    <w:rsid w:val="00511B4C"/>
    <w:rsid w:val="005214DA"/>
    <w:rsid w:val="00530C40"/>
    <w:rsid w:val="005B3F8D"/>
    <w:rsid w:val="006536E6"/>
    <w:rsid w:val="00654E2A"/>
    <w:rsid w:val="006701C4"/>
    <w:rsid w:val="0069587A"/>
    <w:rsid w:val="006D31C4"/>
    <w:rsid w:val="00740AFA"/>
    <w:rsid w:val="007674B4"/>
    <w:rsid w:val="00776A6E"/>
    <w:rsid w:val="00780481"/>
    <w:rsid w:val="007843D9"/>
    <w:rsid w:val="007B54B2"/>
    <w:rsid w:val="008A6E69"/>
    <w:rsid w:val="008B4231"/>
    <w:rsid w:val="00940AD0"/>
    <w:rsid w:val="00952F64"/>
    <w:rsid w:val="0097652F"/>
    <w:rsid w:val="00A52AAD"/>
    <w:rsid w:val="00A63F7F"/>
    <w:rsid w:val="00AD13E9"/>
    <w:rsid w:val="00B43C06"/>
    <w:rsid w:val="00B82C2A"/>
    <w:rsid w:val="00C40946"/>
    <w:rsid w:val="00C70B45"/>
    <w:rsid w:val="00C9149F"/>
    <w:rsid w:val="00CA43B4"/>
    <w:rsid w:val="00CB7BA8"/>
    <w:rsid w:val="00D22888"/>
    <w:rsid w:val="00D2481B"/>
    <w:rsid w:val="00D56508"/>
    <w:rsid w:val="00DB5D2F"/>
    <w:rsid w:val="00DD2C40"/>
    <w:rsid w:val="00E624BE"/>
    <w:rsid w:val="00E709B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B738C-F829-4F5B-91B5-3A349D10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0621">
      <w:bodyDiv w:val="1"/>
      <w:marLeft w:val="0"/>
      <w:marRight w:val="0"/>
      <w:marTop w:val="0"/>
      <w:marBottom w:val="0"/>
      <w:divBdr>
        <w:top w:val="none" w:sz="0" w:space="0" w:color="auto"/>
        <w:left w:val="none" w:sz="0" w:space="0" w:color="auto"/>
        <w:bottom w:val="none" w:sz="0" w:space="0" w:color="auto"/>
        <w:right w:val="none" w:sz="0" w:space="0" w:color="auto"/>
      </w:divBdr>
    </w:div>
    <w:div w:id="1057628030">
      <w:bodyDiv w:val="1"/>
      <w:marLeft w:val="0"/>
      <w:marRight w:val="0"/>
      <w:marTop w:val="0"/>
      <w:marBottom w:val="0"/>
      <w:divBdr>
        <w:top w:val="none" w:sz="0" w:space="0" w:color="auto"/>
        <w:left w:val="none" w:sz="0" w:space="0" w:color="auto"/>
        <w:bottom w:val="none" w:sz="0" w:space="0" w:color="auto"/>
        <w:right w:val="none" w:sz="0" w:space="0" w:color="auto"/>
      </w:divBdr>
    </w:div>
    <w:div w:id="14900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divort\Dropbox\TSBA%20-%20Policy%20Department\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77BC4877BA4221ACE2D5788AA0CD52"/>
        <w:category>
          <w:name w:val="General"/>
          <w:gallery w:val="placeholder"/>
        </w:category>
        <w:types>
          <w:type w:val="bbPlcHdr"/>
        </w:types>
        <w:behaviors>
          <w:behavior w:val="content"/>
        </w:behaviors>
        <w:guid w:val="{2AFD79FD-2E86-459F-91C5-EAC07753C65D}"/>
      </w:docPartPr>
      <w:docPartBody>
        <w:p w:rsidR="0044251B" w:rsidRDefault="00C95108">
          <w:pPr>
            <w:pStyle w:val="7C77BC4877BA4221ACE2D5788AA0CD52"/>
          </w:pPr>
          <w:r>
            <w:rPr>
              <w:rStyle w:val="PlaceholderText"/>
            </w:rPr>
            <w:t>Click here to choose a school board</w:t>
          </w:r>
          <w:r w:rsidRPr="004A036A">
            <w:rPr>
              <w:rStyle w:val="PlaceholderText"/>
            </w:rPr>
            <w:t>.</w:t>
          </w:r>
        </w:p>
      </w:docPartBody>
    </w:docPart>
    <w:docPart>
      <w:docPartPr>
        <w:name w:val="BEBA648F5EBF4246B26B0F9D676C6D45"/>
        <w:category>
          <w:name w:val="General"/>
          <w:gallery w:val="placeholder"/>
        </w:category>
        <w:types>
          <w:type w:val="bbPlcHdr"/>
        </w:types>
        <w:behaviors>
          <w:behavior w:val="content"/>
        </w:behaviors>
        <w:guid w:val="{F0A56201-68A6-4399-8D4E-383B72AEA40D}"/>
      </w:docPartPr>
      <w:docPartBody>
        <w:p w:rsidR="0044251B" w:rsidRDefault="00C95108">
          <w:pPr>
            <w:pStyle w:val="BEBA648F5EBF4246B26B0F9D676C6D45"/>
          </w:pPr>
          <w:r w:rsidRPr="00224AE2">
            <w:rPr>
              <w:rStyle w:val="PlaceholderText"/>
            </w:rPr>
            <w:t>Click here to enter text.</w:t>
          </w:r>
        </w:p>
      </w:docPartBody>
    </w:docPart>
    <w:docPart>
      <w:docPartPr>
        <w:name w:val="E16DD29B7EF44C00934458651055D644"/>
        <w:category>
          <w:name w:val="General"/>
          <w:gallery w:val="placeholder"/>
        </w:category>
        <w:types>
          <w:type w:val="bbPlcHdr"/>
        </w:types>
        <w:behaviors>
          <w:behavior w:val="content"/>
        </w:behaviors>
        <w:guid w:val="{E5126EFF-0DC7-49B7-B9F4-003599766942}"/>
      </w:docPartPr>
      <w:docPartBody>
        <w:p w:rsidR="0044251B" w:rsidRDefault="00C95108">
          <w:pPr>
            <w:pStyle w:val="E16DD29B7EF44C00934458651055D644"/>
          </w:pPr>
          <w:r>
            <w:rPr>
              <w:rStyle w:val="PlaceholderText"/>
            </w:rPr>
            <w:t>Click here to enter the policy title</w:t>
          </w:r>
          <w:r w:rsidRPr="00CD7C0B">
            <w:rPr>
              <w:rStyle w:val="PlaceholderText"/>
            </w:rPr>
            <w:t>.</w:t>
          </w:r>
        </w:p>
      </w:docPartBody>
    </w:docPart>
    <w:docPart>
      <w:docPartPr>
        <w:name w:val="B0753A5E0A3346028A83765FEE7B2805"/>
        <w:category>
          <w:name w:val="General"/>
          <w:gallery w:val="placeholder"/>
        </w:category>
        <w:types>
          <w:type w:val="bbPlcHdr"/>
        </w:types>
        <w:behaviors>
          <w:behavior w:val="content"/>
        </w:behaviors>
        <w:guid w:val="{C0566F50-ABFD-4027-A982-EC73977F92BE}"/>
      </w:docPartPr>
      <w:docPartBody>
        <w:p w:rsidR="0044251B" w:rsidRDefault="00C95108">
          <w:pPr>
            <w:pStyle w:val="B0753A5E0A3346028A83765FEE7B2805"/>
          </w:pPr>
          <w:r>
            <w:rPr>
              <w:rStyle w:val="PlaceholderText"/>
            </w:rPr>
            <w:t>Enter Code</w:t>
          </w:r>
        </w:p>
      </w:docPartBody>
    </w:docPart>
    <w:docPart>
      <w:docPartPr>
        <w:name w:val="B5B0DE17FF644769ADDF6904AB17C49C"/>
        <w:category>
          <w:name w:val="General"/>
          <w:gallery w:val="placeholder"/>
        </w:category>
        <w:types>
          <w:type w:val="bbPlcHdr"/>
        </w:types>
        <w:behaviors>
          <w:behavior w:val="content"/>
        </w:behaviors>
        <w:guid w:val="{63C24F1A-7173-4297-B984-19323A6B8683}"/>
      </w:docPartPr>
      <w:docPartBody>
        <w:p w:rsidR="0044251B" w:rsidRDefault="00C95108">
          <w:pPr>
            <w:pStyle w:val="B5B0DE17FF644769ADDF6904AB17C49C"/>
          </w:pPr>
          <w:r w:rsidRPr="00CD7C0B">
            <w:rPr>
              <w:rStyle w:val="PlaceholderText"/>
            </w:rPr>
            <w:t>Click here to enter a date.</w:t>
          </w:r>
        </w:p>
      </w:docPartBody>
    </w:docPart>
    <w:docPart>
      <w:docPartPr>
        <w:name w:val="E4D6911DEDC140359584406538D4F2B2"/>
        <w:category>
          <w:name w:val="General"/>
          <w:gallery w:val="placeholder"/>
        </w:category>
        <w:types>
          <w:type w:val="bbPlcHdr"/>
        </w:types>
        <w:behaviors>
          <w:behavior w:val="content"/>
        </w:behaviors>
        <w:guid w:val="{8345BBAC-1300-4705-959D-DAE76740B178}"/>
      </w:docPartPr>
      <w:docPartBody>
        <w:p w:rsidR="0044251B" w:rsidRDefault="00C95108">
          <w:pPr>
            <w:pStyle w:val="E4D6911DEDC140359584406538D4F2B2"/>
          </w:pPr>
          <w:r>
            <w:rPr>
              <w:rStyle w:val="PlaceholderText"/>
            </w:rPr>
            <w:t xml:space="preserve"> </w:t>
          </w:r>
        </w:p>
      </w:docPartBody>
    </w:docPart>
    <w:docPart>
      <w:docPartPr>
        <w:name w:val="D195D17DDEBD406983D9294C116989B2"/>
        <w:category>
          <w:name w:val="General"/>
          <w:gallery w:val="placeholder"/>
        </w:category>
        <w:types>
          <w:type w:val="bbPlcHdr"/>
        </w:types>
        <w:behaviors>
          <w:behavior w:val="content"/>
        </w:behaviors>
        <w:guid w:val="{EDFF32EB-50C1-4B76-8C7D-55CB58A7A44C}"/>
      </w:docPartPr>
      <w:docPartBody>
        <w:p w:rsidR="0044251B" w:rsidRDefault="00C95108">
          <w:pPr>
            <w:pStyle w:val="D195D17DDEBD406983D9294C116989B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08"/>
    <w:rsid w:val="00196B0F"/>
    <w:rsid w:val="0044251B"/>
    <w:rsid w:val="00C95108"/>
    <w:rsid w:val="00E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77BC4877BA4221ACE2D5788AA0CD52">
    <w:name w:val="7C77BC4877BA4221ACE2D5788AA0CD52"/>
  </w:style>
  <w:style w:type="paragraph" w:customStyle="1" w:styleId="BEBA648F5EBF4246B26B0F9D676C6D45">
    <w:name w:val="BEBA648F5EBF4246B26B0F9D676C6D45"/>
  </w:style>
  <w:style w:type="paragraph" w:customStyle="1" w:styleId="E16DD29B7EF44C00934458651055D644">
    <w:name w:val="E16DD29B7EF44C00934458651055D644"/>
  </w:style>
  <w:style w:type="paragraph" w:customStyle="1" w:styleId="B0753A5E0A3346028A83765FEE7B2805">
    <w:name w:val="B0753A5E0A3346028A83765FEE7B2805"/>
  </w:style>
  <w:style w:type="paragraph" w:customStyle="1" w:styleId="B5B0DE17FF644769ADDF6904AB17C49C">
    <w:name w:val="B5B0DE17FF644769ADDF6904AB17C49C"/>
  </w:style>
  <w:style w:type="paragraph" w:customStyle="1" w:styleId="E4D6911DEDC140359584406538D4F2B2">
    <w:name w:val="E4D6911DEDC140359584406538D4F2B2"/>
  </w:style>
  <w:style w:type="paragraph" w:customStyle="1" w:styleId="D195D17DDEBD406983D9294C116989B2">
    <w:name w:val="D195D17DDEBD406983D9294C11698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C8889F9-1A90-4F76-89AF-4B7A9185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154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Emily Vandivort</dc:creator>
  <cp:keywords>6.204</cp:keywords>
  <cp:lastModifiedBy>Emily Vandivort</cp:lastModifiedBy>
  <cp:revision>6</cp:revision>
  <dcterms:created xsi:type="dcterms:W3CDTF">2017-07-18T15:19:00Z</dcterms:created>
  <dcterms:modified xsi:type="dcterms:W3CDTF">2017-07-25T16:24:00Z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